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6A" w:rsidRPr="004B424C" w:rsidRDefault="00614F6A" w:rsidP="00614F6A">
      <w:pPr>
        <w:rPr>
          <w:b/>
          <w:szCs w:val="20"/>
        </w:rPr>
      </w:pPr>
      <w:bookmarkStart w:id="0" w:name="_GoBack"/>
      <w:bookmarkEnd w:id="0"/>
      <w:r w:rsidRPr="004B424C">
        <w:rPr>
          <w:b/>
          <w:szCs w:val="20"/>
        </w:rPr>
        <w:t>Startbijeenkomst Samenwerken in de Wijk</w:t>
      </w:r>
    </w:p>
    <w:p w:rsidR="00614F6A" w:rsidRDefault="00614F6A" w:rsidP="00614F6A">
      <w:pPr>
        <w:rPr>
          <w:szCs w:val="20"/>
        </w:rPr>
      </w:pPr>
    </w:p>
    <w:p w:rsidR="00614F6A" w:rsidRPr="004B424C" w:rsidRDefault="00614F6A" w:rsidP="00614F6A">
      <w:pPr>
        <w:rPr>
          <w:b/>
          <w:szCs w:val="20"/>
        </w:rPr>
      </w:pPr>
      <w:r w:rsidRPr="004B424C">
        <w:rPr>
          <w:b/>
          <w:szCs w:val="20"/>
        </w:rPr>
        <w:t>Inleiding</w:t>
      </w:r>
    </w:p>
    <w:p w:rsidR="00614F6A" w:rsidRDefault="00614F6A" w:rsidP="00614F6A">
      <w:pPr>
        <w:rPr>
          <w:szCs w:val="20"/>
        </w:rPr>
      </w:pPr>
      <w:r w:rsidRPr="00614F6A">
        <w:rPr>
          <w:szCs w:val="20"/>
        </w:rPr>
        <w:t xml:space="preserve">Zorgverleners kunnen verschillende redenen hebben om te gaan samenwerken in </w:t>
      </w:r>
      <w:r>
        <w:rPr>
          <w:szCs w:val="20"/>
        </w:rPr>
        <w:t xml:space="preserve">de </w:t>
      </w:r>
      <w:r w:rsidRPr="00614F6A">
        <w:rPr>
          <w:szCs w:val="20"/>
        </w:rPr>
        <w:t xml:space="preserve">wijk. Het doel is in de regel hetzelfde: mensen zolang mogelijk hun eigen regie </w:t>
      </w:r>
      <w:r>
        <w:rPr>
          <w:szCs w:val="20"/>
        </w:rPr>
        <w:t xml:space="preserve">te </w:t>
      </w:r>
      <w:r w:rsidRPr="00614F6A">
        <w:rPr>
          <w:szCs w:val="20"/>
        </w:rPr>
        <w:t xml:space="preserve">laten voeren en hun zelfredzaamheid te </w:t>
      </w:r>
      <w:r w:rsidR="003135FD">
        <w:rPr>
          <w:szCs w:val="20"/>
        </w:rPr>
        <w:t xml:space="preserve">laten </w:t>
      </w:r>
      <w:r w:rsidRPr="00614F6A">
        <w:rPr>
          <w:szCs w:val="20"/>
        </w:rPr>
        <w:t>behouden of te vergroten.</w:t>
      </w:r>
      <w:r>
        <w:rPr>
          <w:szCs w:val="20"/>
        </w:rPr>
        <w:t xml:space="preserve"> </w:t>
      </w:r>
      <w:r w:rsidRPr="00614F6A">
        <w:rPr>
          <w:szCs w:val="20"/>
        </w:rPr>
        <w:t xml:space="preserve">Door samen te werken in een netwerk kan iedereen doen waar hij/zij goed in is. Dat betekent dat de huisarts zich </w:t>
      </w:r>
      <w:r w:rsidR="003135FD">
        <w:rPr>
          <w:szCs w:val="20"/>
        </w:rPr>
        <w:t xml:space="preserve">voldoende </w:t>
      </w:r>
      <w:r w:rsidRPr="00614F6A">
        <w:rPr>
          <w:szCs w:val="20"/>
        </w:rPr>
        <w:t xml:space="preserve">kan </w:t>
      </w:r>
      <w:r w:rsidR="003135FD">
        <w:rPr>
          <w:szCs w:val="20"/>
        </w:rPr>
        <w:t xml:space="preserve">blijven </w:t>
      </w:r>
      <w:r w:rsidRPr="00614F6A">
        <w:rPr>
          <w:szCs w:val="20"/>
        </w:rPr>
        <w:t>richten op medisch</w:t>
      </w:r>
      <w:r w:rsidR="003135FD">
        <w:rPr>
          <w:szCs w:val="20"/>
        </w:rPr>
        <w:t>-</w:t>
      </w:r>
      <w:r w:rsidRPr="00614F6A">
        <w:rPr>
          <w:szCs w:val="20"/>
        </w:rPr>
        <w:t>generalistische behandeling</w:t>
      </w:r>
      <w:r>
        <w:rPr>
          <w:szCs w:val="20"/>
        </w:rPr>
        <w:t>.</w:t>
      </w:r>
    </w:p>
    <w:p w:rsidR="00614F6A" w:rsidRDefault="00614F6A" w:rsidP="00614F6A">
      <w:pPr>
        <w:rPr>
          <w:szCs w:val="20"/>
        </w:rPr>
      </w:pPr>
    </w:p>
    <w:p w:rsidR="00614F6A" w:rsidRDefault="00614F6A" w:rsidP="00614F6A">
      <w:pPr>
        <w:rPr>
          <w:szCs w:val="20"/>
        </w:rPr>
      </w:pPr>
      <w:r>
        <w:rPr>
          <w:szCs w:val="20"/>
        </w:rPr>
        <w:t>Medrie ondersteunt ‘Samenwerken in de wijk’ en de</w:t>
      </w:r>
      <w:r w:rsidRPr="00614F6A">
        <w:rPr>
          <w:szCs w:val="20"/>
        </w:rPr>
        <w:t xml:space="preserve"> eerste praktijken hebben zich aangemeld. Om h</w:t>
      </w:r>
      <w:r>
        <w:rPr>
          <w:szCs w:val="20"/>
        </w:rPr>
        <w:t xml:space="preserve">ierin samen op te trekken, organiseren we </w:t>
      </w:r>
      <w:r w:rsidRPr="00614F6A">
        <w:rPr>
          <w:szCs w:val="20"/>
        </w:rPr>
        <w:t>een gezamenlijke ‘startbijeenkomst’.</w:t>
      </w:r>
      <w:r>
        <w:rPr>
          <w:szCs w:val="20"/>
        </w:rPr>
        <w:t xml:space="preserve"> Ook praktijken die zich willen oriënteren op deze manier van werken zijn van harte welkom.</w:t>
      </w:r>
    </w:p>
    <w:p w:rsidR="00614F6A" w:rsidRDefault="00614F6A" w:rsidP="00614F6A">
      <w:pPr>
        <w:rPr>
          <w:szCs w:val="20"/>
        </w:rPr>
      </w:pPr>
    </w:p>
    <w:p w:rsidR="00614F6A" w:rsidRPr="004B424C" w:rsidRDefault="00AC7C62" w:rsidP="00614F6A">
      <w:pPr>
        <w:rPr>
          <w:b/>
          <w:szCs w:val="20"/>
        </w:rPr>
      </w:pPr>
      <w:r w:rsidRPr="004B424C">
        <w:rPr>
          <w:b/>
          <w:szCs w:val="20"/>
        </w:rPr>
        <w:t>Programma</w:t>
      </w:r>
    </w:p>
    <w:p w:rsidR="00AC7C62" w:rsidRDefault="00AC7C62" w:rsidP="00614F6A">
      <w:pPr>
        <w:rPr>
          <w:szCs w:val="20"/>
        </w:rPr>
      </w:pPr>
    </w:p>
    <w:p w:rsidR="003135FD" w:rsidRDefault="00AC7C62" w:rsidP="00AC7C62">
      <w:pPr>
        <w:rPr>
          <w:szCs w:val="20"/>
        </w:rPr>
      </w:pPr>
      <w:r w:rsidRPr="00AC7C62">
        <w:rPr>
          <w:szCs w:val="20"/>
        </w:rPr>
        <w:t xml:space="preserve">17.30 </w:t>
      </w:r>
      <w:r>
        <w:rPr>
          <w:szCs w:val="20"/>
        </w:rPr>
        <w:t>uur</w:t>
      </w:r>
      <w:r>
        <w:rPr>
          <w:szCs w:val="20"/>
        </w:rPr>
        <w:tab/>
      </w:r>
      <w:r w:rsidR="003135FD">
        <w:rPr>
          <w:szCs w:val="20"/>
        </w:rPr>
        <w:t>inloop met broodjes/soep</w:t>
      </w:r>
    </w:p>
    <w:p w:rsidR="00AC7C62" w:rsidRPr="00AC7C62" w:rsidRDefault="003135FD" w:rsidP="00AC7C62">
      <w:pPr>
        <w:rPr>
          <w:szCs w:val="20"/>
        </w:rPr>
      </w:pPr>
      <w:r>
        <w:rPr>
          <w:szCs w:val="20"/>
        </w:rPr>
        <w:t xml:space="preserve"> </w:t>
      </w:r>
    </w:p>
    <w:p w:rsidR="003135FD" w:rsidRDefault="00AC7C62" w:rsidP="00AC7C62">
      <w:pPr>
        <w:rPr>
          <w:szCs w:val="20"/>
        </w:rPr>
      </w:pPr>
      <w:r>
        <w:rPr>
          <w:szCs w:val="20"/>
        </w:rPr>
        <w:t>18.</w:t>
      </w:r>
      <w:r w:rsidRPr="00AC7C62">
        <w:rPr>
          <w:szCs w:val="20"/>
        </w:rPr>
        <w:t>00</w:t>
      </w:r>
      <w:r>
        <w:rPr>
          <w:szCs w:val="20"/>
        </w:rPr>
        <w:t xml:space="preserve"> uur</w:t>
      </w:r>
      <w:r>
        <w:rPr>
          <w:szCs w:val="20"/>
        </w:rPr>
        <w:tab/>
      </w:r>
      <w:r w:rsidR="003135FD">
        <w:rPr>
          <w:szCs w:val="20"/>
        </w:rPr>
        <w:t>- Welkom en uitleg programma</w:t>
      </w:r>
    </w:p>
    <w:p w:rsidR="00AC7C62" w:rsidRDefault="003135FD" w:rsidP="00AC7C6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AC7C62" w:rsidRPr="00AC7C62">
        <w:rPr>
          <w:szCs w:val="20"/>
        </w:rPr>
        <w:t>- Waarom ‘samenwerken in de wijk’, op basis van de NHG handleiding.</w:t>
      </w:r>
    </w:p>
    <w:p w:rsidR="003135FD" w:rsidRDefault="00AC7C62" w:rsidP="00AC7C6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Pr="00AC7C62">
        <w:rPr>
          <w:szCs w:val="20"/>
        </w:rPr>
        <w:t xml:space="preserve">- </w:t>
      </w:r>
      <w:r w:rsidR="003135FD" w:rsidRPr="00AC7C62">
        <w:rPr>
          <w:szCs w:val="20"/>
        </w:rPr>
        <w:t>Inspirerende case vanuit een praktijk</w:t>
      </w:r>
    </w:p>
    <w:p w:rsidR="00AC7C62" w:rsidRPr="00AC7C62" w:rsidRDefault="003135FD" w:rsidP="00AC7C6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- </w:t>
      </w:r>
      <w:r w:rsidRPr="00AC7C62">
        <w:rPr>
          <w:szCs w:val="20"/>
        </w:rPr>
        <w:t xml:space="preserve"> </w:t>
      </w:r>
      <w:r w:rsidR="00AC7C62" w:rsidRPr="00AC7C62">
        <w:rPr>
          <w:szCs w:val="20"/>
        </w:rPr>
        <w:t>Vijf sleutelprincipes voor samenwerken in netwerken.</w:t>
      </w:r>
    </w:p>
    <w:p w:rsidR="003135FD" w:rsidRDefault="003135FD" w:rsidP="003135FD">
      <w:pPr>
        <w:rPr>
          <w:szCs w:val="20"/>
        </w:rPr>
      </w:pPr>
    </w:p>
    <w:p w:rsidR="003135FD" w:rsidRDefault="003135FD" w:rsidP="003135FD">
      <w:pPr>
        <w:rPr>
          <w:szCs w:val="20"/>
        </w:rPr>
      </w:pPr>
      <w:r>
        <w:rPr>
          <w:szCs w:val="20"/>
        </w:rPr>
        <w:t>19.00 uur</w:t>
      </w:r>
      <w:r>
        <w:rPr>
          <w:szCs w:val="20"/>
        </w:rPr>
        <w:tab/>
        <w:t>Pauze</w:t>
      </w:r>
    </w:p>
    <w:p w:rsidR="003135FD" w:rsidRDefault="003135FD" w:rsidP="003135FD">
      <w:pPr>
        <w:rPr>
          <w:szCs w:val="20"/>
        </w:rPr>
      </w:pPr>
    </w:p>
    <w:p w:rsidR="00AC7C62" w:rsidRDefault="003135FD" w:rsidP="003135FD">
      <w:pPr>
        <w:rPr>
          <w:szCs w:val="20"/>
        </w:rPr>
      </w:pPr>
      <w:r>
        <w:rPr>
          <w:szCs w:val="20"/>
        </w:rPr>
        <w:t>19.30 u</w:t>
      </w:r>
      <w:r w:rsidR="00AC7C62" w:rsidRPr="00AC7C62">
        <w:rPr>
          <w:szCs w:val="20"/>
        </w:rPr>
        <w:t>ur</w:t>
      </w:r>
      <w:r w:rsidR="00AC7C62">
        <w:rPr>
          <w:szCs w:val="20"/>
        </w:rPr>
        <w:tab/>
        <w:t xml:space="preserve">- </w:t>
      </w:r>
      <w:r w:rsidRPr="00AC7C62">
        <w:rPr>
          <w:szCs w:val="20"/>
        </w:rPr>
        <w:t>Hoe werkt een wijkscan?</w:t>
      </w:r>
    </w:p>
    <w:p w:rsidR="00AC7C62" w:rsidRDefault="00AC7C62" w:rsidP="00AC7C6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- in subgroepen</w:t>
      </w:r>
      <w:r w:rsidRPr="00AC7C62">
        <w:rPr>
          <w:szCs w:val="20"/>
        </w:rPr>
        <w:t>: hoe gaan we zelf aan de slag?</w:t>
      </w:r>
    </w:p>
    <w:p w:rsidR="00AC7C62" w:rsidRPr="00AC7C62" w:rsidRDefault="00AC7C62" w:rsidP="00AC7C6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- </w:t>
      </w:r>
      <w:r w:rsidRPr="00AC7C62">
        <w:rPr>
          <w:szCs w:val="20"/>
        </w:rPr>
        <w:t>Centrale bespreking/discussie</w:t>
      </w:r>
    </w:p>
    <w:p w:rsidR="00AC7C62" w:rsidRPr="00AC7C62" w:rsidRDefault="00AC7C62" w:rsidP="00AC7C62">
      <w:pPr>
        <w:rPr>
          <w:szCs w:val="20"/>
        </w:rPr>
      </w:pPr>
    </w:p>
    <w:p w:rsidR="00AC7C62" w:rsidRDefault="003135FD" w:rsidP="00AC7C62">
      <w:pPr>
        <w:rPr>
          <w:szCs w:val="20"/>
        </w:rPr>
      </w:pPr>
      <w:r>
        <w:rPr>
          <w:szCs w:val="20"/>
        </w:rPr>
        <w:t>20.30 uur</w:t>
      </w:r>
      <w:r>
        <w:rPr>
          <w:szCs w:val="20"/>
        </w:rPr>
        <w:tab/>
      </w:r>
      <w:r w:rsidR="00AC7C62" w:rsidRPr="00AC7C62">
        <w:rPr>
          <w:szCs w:val="20"/>
        </w:rPr>
        <w:t>afronding en daarna hapje/drankje</w:t>
      </w:r>
    </w:p>
    <w:p w:rsidR="00AC7C62" w:rsidRDefault="00AC7C62" w:rsidP="00614F6A">
      <w:pPr>
        <w:rPr>
          <w:szCs w:val="20"/>
        </w:rPr>
      </w:pPr>
    </w:p>
    <w:p w:rsidR="00AC7C62" w:rsidRPr="004B424C" w:rsidRDefault="00AC7C62" w:rsidP="00614F6A">
      <w:pPr>
        <w:rPr>
          <w:b/>
          <w:szCs w:val="20"/>
        </w:rPr>
      </w:pPr>
      <w:r w:rsidRPr="004B424C">
        <w:rPr>
          <w:b/>
          <w:szCs w:val="20"/>
        </w:rPr>
        <w:t>Doel</w:t>
      </w:r>
    </w:p>
    <w:p w:rsidR="00AC7C62" w:rsidRDefault="004B424C" w:rsidP="004B424C">
      <w:pPr>
        <w:rPr>
          <w:szCs w:val="20"/>
        </w:rPr>
      </w:pPr>
      <w:r>
        <w:rPr>
          <w:szCs w:val="20"/>
        </w:rPr>
        <w:t>Deelnemers</w:t>
      </w:r>
      <w:r w:rsidRPr="004B424C">
        <w:rPr>
          <w:szCs w:val="20"/>
        </w:rPr>
        <w:t xml:space="preserve"> weten hoe te starten met ‘Samenwerken in de wijk</w:t>
      </w:r>
      <w:r>
        <w:rPr>
          <w:szCs w:val="20"/>
        </w:rPr>
        <w:t>’</w:t>
      </w:r>
      <w:r w:rsidR="003135FD">
        <w:rPr>
          <w:szCs w:val="20"/>
        </w:rPr>
        <w:t>. Het programma biedt c</w:t>
      </w:r>
      <w:r>
        <w:rPr>
          <w:szCs w:val="20"/>
        </w:rPr>
        <w:t>oncrete handreikingen en inspiratie</w:t>
      </w:r>
      <w:r w:rsidRPr="004B424C">
        <w:rPr>
          <w:szCs w:val="20"/>
        </w:rPr>
        <w:t xml:space="preserve"> om wijkgericht aan de slag te gaan.</w:t>
      </w:r>
    </w:p>
    <w:p w:rsidR="00AC7C62" w:rsidRDefault="00AC7C62" w:rsidP="00614F6A">
      <w:pPr>
        <w:rPr>
          <w:szCs w:val="20"/>
        </w:rPr>
      </w:pPr>
    </w:p>
    <w:p w:rsidR="003135FD" w:rsidRPr="003135FD" w:rsidRDefault="003135FD" w:rsidP="00614F6A">
      <w:pPr>
        <w:rPr>
          <w:b/>
          <w:szCs w:val="20"/>
        </w:rPr>
      </w:pPr>
      <w:r w:rsidRPr="003135FD">
        <w:rPr>
          <w:b/>
          <w:szCs w:val="20"/>
        </w:rPr>
        <w:t>Doelgroep</w:t>
      </w:r>
    </w:p>
    <w:p w:rsidR="00AC7C62" w:rsidRDefault="004B424C" w:rsidP="00614F6A">
      <w:pPr>
        <w:rPr>
          <w:szCs w:val="20"/>
        </w:rPr>
      </w:pPr>
      <w:r w:rsidRPr="004B424C">
        <w:rPr>
          <w:szCs w:val="20"/>
        </w:rPr>
        <w:t>Huisartsen (AIOS/</w:t>
      </w:r>
      <w:proofErr w:type="spellStart"/>
      <w:r w:rsidRPr="004B424C">
        <w:rPr>
          <w:szCs w:val="20"/>
        </w:rPr>
        <w:t>HIDHA’s</w:t>
      </w:r>
      <w:proofErr w:type="spellEnd"/>
      <w:r w:rsidRPr="004B424C">
        <w:rPr>
          <w:szCs w:val="20"/>
        </w:rPr>
        <w:t>/ praktijkmanagers/ POH) die aangegeven hebben deel te willen nemen aan ‘Samenwerken in de wijk’ (ook GEZ en OWZ praktijken).</w:t>
      </w:r>
      <w:r w:rsidR="003135FD">
        <w:rPr>
          <w:szCs w:val="20"/>
        </w:rPr>
        <w:t xml:space="preserve"> </w:t>
      </w:r>
      <w:r w:rsidR="00C3460D">
        <w:rPr>
          <w:szCs w:val="20"/>
        </w:rPr>
        <w:t>Huisartsen/medewerkers mogen inschrijven voor een bijeenkomst buiten hun eigen deelregio.</w:t>
      </w:r>
    </w:p>
    <w:p w:rsidR="00614F6A" w:rsidRPr="00614F6A" w:rsidRDefault="00614F6A" w:rsidP="00614F6A">
      <w:pPr>
        <w:rPr>
          <w:szCs w:val="20"/>
        </w:rPr>
      </w:pPr>
    </w:p>
    <w:p w:rsidR="00614F6A" w:rsidRPr="003135FD" w:rsidRDefault="003135FD" w:rsidP="00614F6A">
      <w:pPr>
        <w:rPr>
          <w:b/>
          <w:szCs w:val="20"/>
        </w:rPr>
      </w:pPr>
      <w:r w:rsidRPr="003135FD">
        <w:rPr>
          <w:b/>
          <w:szCs w:val="20"/>
        </w:rPr>
        <w:t>Accreditatie</w:t>
      </w:r>
    </w:p>
    <w:p w:rsidR="003135FD" w:rsidRDefault="003135FD" w:rsidP="00614F6A">
      <w:pPr>
        <w:rPr>
          <w:szCs w:val="20"/>
        </w:rPr>
      </w:pPr>
      <w:r>
        <w:rPr>
          <w:szCs w:val="20"/>
        </w:rPr>
        <w:t>Er is accreditatie aangevraagd voor 2 uur scholing</w:t>
      </w:r>
    </w:p>
    <w:p w:rsidR="003135FD" w:rsidRDefault="003135FD" w:rsidP="00614F6A">
      <w:pPr>
        <w:rPr>
          <w:szCs w:val="20"/>
        </w:rPr>
      </w:pPr>
    </w:p>
    <w:p w:rsidR="003135FD" w:rsidRPr="003A4C45" w:rsidRDefault="003135FD" w:rsidP="00614F6A">
      <w:pPr>
        <w:rPr>
          <w:b/>
          <w:szCs w:val="20"/>
        </w:rPr>
      </w:pPr>
      <w:r w:rsidRPr="003A4C45">
        <w:rPr>
          <w:b/>
          <w:szCs w:val="20"/>
        </w:rPr>
        <w:t>Praktische informatie</w:t>
      </w:r>
    </w:p>
    <w:p w:rsidR="004F4901" w:rsidRPr="004F4901" w:rsidRDefault="004F4901" w:rsidP="004F4901">
      <w:pPr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ab/>
        <w:t>Data: 27 juni (Swifterbant) en 18 september (Zwolle)</w:t>
      </w:r>
    </w:p>
    <w:p w:rsidR="004F4901" w:rsidRPr="004F4901" w:rsidRDefault="004F4901" w:rsidP="004F4901">
      <w:pPr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ab/>
        <w:t>Tijden: 17.30 uur inloop</w:t>
      </w:r>
      <w:r w:rsidR="003A4C45">
        <w:rPr>
          <w:szCs w:val="20"/>
        </w:rPr>
        <w:t xml:space="preserve"> (soep en broodjes)</w:t>
      </w:r>
      <w:r>
        <w:rPr>
          <w:szCs w:val="20"/>
        </w:rPr>
        <w:t>, programma 18.00-20.30 uur</w:t>
      </w:r>
    </w:p>
    <w:p w:rsidR="004F4901" w:rsidRPr="004F4901" w:rsidRDefault="004F4901" w:rsidP="004F4901">
      <w:pPr>
        <w:rPr>
          <w:szCs w:val="20"/>
        </w:rPr>
      </w:pPr>
      <w:r>
        <w:rPr>
          <w:szCs w:val="20"/>
        </w:rPr>
        <w:t>•</w:t>
      </w:r>
      <w:r>
        <w:rPr>
          <w:szCs w:val="20"/>
        </w:rPr>
        <w:tab/>
        <w:t>Groepsgrootte: max. 60 deelnemers</w:t>
      </w:r>
    </w:p>
    <w:p w:rsidR="004F4901" w:rsidRPr="004F4901" w:rsidRDefault="004F4901" w:rsidP="004F4901">
      <w:pPr>
        <w:rPr>
          <w:szCs w:val="20"/>
        </w:rPr>
      </w:pPr>
      <w:r>
        <w:rPr>
          <w:szCs w:val="20"/>
        </w:rPr>
        <w:lastRenderedPageBreak/>
        <w:t>•</w:t>
      </w:r>
      <w:r>
        <w:rPr>
          <w:szCs w:val="20"/>
        </w:rPr>
        <w:tab/>
        <w:t>Inschrijven kan tot: 2</w:t>
      </w:r>
      <w:r w:rsidRPr="004F4901">
        <w:rPr>
          <w:szCs w:val="20"/>
        </w:rPr>
        <w:t xml:space="preserve"> weken voor de start van de scholing</w:t>
      </w:r>
    </w:p>
    <w:p w:rsidR="004F4901" w:rsidRPr="004F4901" w:rsidRDefault="004F4901" w:rsidP="004F4901">
      <w:pPr>
        <w:rPr>
          <w:szCs w:val="20"/>
        </w:rPr>
      </w:pPr>
      <w:r w:rsidRPr="004F4901">
        <w:rPr>
          <w:szCs w:val="20"/>
        </w:rPr>
        <w:t>•</w:t>
      </w:r>
      <w:r w:rsidRPr="004F4901">
        <w:rPr>
          <w:szCs w:val="20"/>
        </w:rPr>
        <w:tab/>
      </w:r>
      <w:r>
        <w:rPr>
          <w:szCs w:val="20"/>
        </w:rPr>
        <w:t xml:space="preserve">Begeleiding programma: Medrie en </w:t>
      </w:r>
      <w:proofErr w:type="spellStart"/>
      <w:r>
        <w:rPr>
          <w:szCs w:val="20"/>
        </w:rPr>
        <w:t>ProScoop</w:t>
      </w:r>
      <w:proofErr w:type="spellEnd"/>
    </w:p>
    <w:p w:rsidR="004F4901" w:rsidRPr="004F4901" w:rsidRDefault="004F4901" w:rsidP="004F4901">
      <w:pPr>
        <w:rPr>
          <w:szCs w:val="20"/>
        </w:rPr>
      </w:pPr>
      <w:r w:rsidRPr="004F4901">
        <w:rPr>
          <w:szCs w:val="20"/>
        </w:rPr>
        <w:t>•</w:t>
      </w:r>
      <w:r w:rsidRPr="004F4901">
        <w:rPr>
          <w:szCs w:val="20"/>
        </w:rPr>
        <w:tab/>
        <w:t xml:space="preserve">Kosten: </w:t>
      </w:r>
      <w:r>
        <w:rPr>
          <w:szCs w:val="20"/>
        </w:rPr>
        <w:t>aan deelname zijn geen kosten verbonden</w:t>
      </w:r>
    </w:p>
    <w:p w:rsidR="004F4901" w:rsidRPr="004F4901" w:rsidRDefault="004F4901" w:rsidP="004F4901">
      <w:pPr>
        <w:rPr>
          <w:szCs w:val="20"/>
        </w:rPr>
      </w:pPr>
      <w:r w:rsidRPr="004F4901">
        <w:rPr>
          <w:szCs w:val="20"/>
        </w:rPr>
        <w:t>•</w:t>
      </w:r>
      <w:r w:rsidRPr="004F4901">
        <w:rPr>
          <w:szCs w:val="20"/>
        </w:rPr>
        <w:tab/>
        <w:t>Bewijs van deelname: ja</w:t>
      </w:r>
    </w:p>
    <w:p w:rsidR="003135FD" w:rsidRDefault="004F4901" w:rsidP="004F4901">
      <w:pPr>
        <w:rPr>
          <w:szCs w:val="20"/>
        </w:rPr>
      </w:pPr>
      <w:r w:rsidRPr="004F4901">
        <w:rPr>
          <w:szCs w:val="20"/>
        </w:rPr>
        <w:t>•</w:t>
      </w:r>
      <w:r w:rsidRPr="004F4901">
        <w:rPr>
          <w:szCs w:val="20"/>
        </w:rPr>
        <w:tab/>
        <w:t>Meer informatie: scholing@medrie.nl</w:t>
      </w:r>
    </w:p>
    <w:p w:rsidR="004F4901" w:rsidRDefault="004F4901" w:rsidP="00614F6A">
      <w:pPr>
        <w:rPr>
          <w:szCs w:val="20"/>
        </w:rPr>
      </w:pPr>
    </w:p>
    <w:p w:rsidR="004F4901" w:rsidRDefault="004F4901" w:rsidP="00614F6A">
      <w:pPr>
        <w:rPr>
          <w:szCs w:val="20"/>
        </w:rPr>
      </w:pPr>
    </w:p>
    <w:p w:rsidR="004F4901" w:rsidRDefault="004F4901" w:rsidP="00614F6A">
      <w:pPr>
        <w:rPr>
          <w:szCs w:val="20"/>
        </w:rPr>
      </w:pPr>
    </w:p>
    <w:p w:rsidR="004F4901" w:rsidRPr="00614F6A" w:rsidRDefault="004F4901" w:rsidP="00614F6A">
      <w:pPr>
        <w:rPr>
          <w:szCs w:val="20"/>
        </w:rPr>
      </w:pPr>
    </w:p>
    <w:sectPr w:rsidR="004F4901" w:rsidRPr="00614F6A" w:rsidSect="002D58AD">
      <w:headerReference w:type="even" r:id="rId8"/>
      <w:headerReference w:type="default" r:id="rId9"/>
      <w:footerReference w:type="first" r:id="rId10"/>
      <w:pgSz w:w="11906" w:h="16838" w:code="9"/>
      <w:pgMar w:top="1417" w:right="1417" w:bottom="1417" w:left="1417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6A" w:rsidRDefault="00614F6A" w:rsidP="00E13D70">
      <w:pPr>
        <w:spacing w:line="240" w:lineRule="auto"/>
      </w:pPr>
      <w:r>
        <w:separator/>
      </w:r>
    </w:p>
  </w:endnote>
  <w:endnote w:type="continuationSeparator" w:id="0">
    <w:p w:rsidR="00614F6A" w:rsidRDefault="00614F6A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ax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6A" w:rsidRDefault="00614F6A" w:rsidP="00E13D70">
      <w:pPr>
        <w:spacing w:line="240" w:lineRule="auto"/>
      </w:pPr>
      <w:r>
        <w:separator/>
      </w:r>
    </w:p>
  </w:footnote>
  <w:footnote w:type="continuationSeparator" w:id="0">
    <w:p w:rsidR="00614F6A" w:rsidRDefault="00614F6A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53" w:rsidRDefault="00CB62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310" cy="885190"/>
          <wp:effectExtent l="0" t="0" r="254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08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3565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 cstate="print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CB6253" w:rsidRDefault="00A16DFD" w:rsidP="002D58AD">
    <w:pPr>
      <w:pStyle w:val="Koptekstvolgpaginas"/>
      <w:spacing w:after="0"/>
    </w:pPr>
    <w:r w:rsidRPr="00CB62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17F7"/>
    <w:multiLevelType w:val="multilevel"/>
    <w:tmpl w:val="2D880C54"/>
    <w:lvl w:ilvl="0">
      <w:start w:val="1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9EA53FF"/>
    <w:multiLevelType w:val="multilevel"/>
    <w:tmpl w:val="69D48226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A763C41"/>
    <w:multiLevelType w:val="hybridMultilevel"/>
    <w:tmpl w:val="8690A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4A38"/>
    <w:multiLevelType w:val="multilevel"/>
    <w:tmpl w:val="363048E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7D3448"/>
    <w:multiLevelType w:val="multilevel"/>
    <w:tmpl w:val="F362C1F8"/>
    <w:lvl w:ilvl="0">
      <w:start w:val="19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95437B4"/>
    <w:multiLevelType w:val="hybridMultilevel"/>
    <w:tmpl w:val="7674D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8552C"/>
    <w:multiLevelType w:val="hybridMultilevel"/>
    <w:tmpl w:val="A1607DBE"/>
    <w:lvl w:ilvl="0" w:tplc="6186DF7E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8"/>
  </w:num>
  <w:num w:numId="14">
    <w:abstractNumId w:val="9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A"/>
    <w:rsid w:val="00003DD9"/>
    <w:rsid w:val="000140B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22A4"/>
    <w:rsid w:val="00223A93"/>
    <w:rsid w:val="0022796F"/>
    <w:rsid w:val="00241C65"/>
    <w:rsid w:val="00243C95"/>
    <w:rsid w:val="002652F4"/>
    <w:rsid w:val="00293A48"/>
    <w:rsid w:val="002A11C3"/>
    <w:rsid w:val="002C5D64"/>
    <w:rsid w:val="002D33C0"/>
    <w:rsid w:val="002D3FEB"/>
    <w:rsid w:val="002D58AD"/>
    <w:rsid w:val="002D6E3E"/>
    <w:rsid w:val="002E264C"/>
    <w:rsid w:val="002E4ADD"/>
    <w:rsid w:val="002F0CCD"/>
    <w:rsid w:val="00307A6B"/>
    <w:rsid w:val="00311FBC"/>
    <w:rsid w:val="00312F6B"/>
    <w:rsid w:val="003135FD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A4C45"/>
    <w:rsid w:val="003B0296"/>
    <w:rsid w:val="003B106C"/>
    <w:rsid w:val="003B32B3"/>
    <w:rsid w:val="003C2D45"/>
    <w:rsid w:val="003C2F6F"/>
    <w:rsid w:val="003E10E4"/>
    <w:rsid w:val="00414A57"/>
    <w:rsid w:val="00424E33"/>
    <w:rsid w:val="00425BB8"/>
    <w:rsid w:val="00441B5D"/>
    <w:rsid w:val="00461B7E"/>
    <w:rsid w:val="004718E8"/>
    <w:rsid w:val="00473217"/>
    <w:rsid w:val="00485F3D"/>
    <w:rsid w:val="004B424C"/>
    <w:rsid w:val="004C285A"/>
    <w:rsid w:val="004C7E9F"/>
    <w:rsid w:val="004F4901"/>
    <w:rsid w:val="00501937"/>
    <w:rsid w:val="00505E94"/>
    <w:rsid w:val="0052514E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610C5B"/>
    <w:rsid w:val="00614F6A"/>
    <w:rsid w:val="00616E6D"/>
    <w:rsid w:val="00633401"/>
    <w:rsid w:val="00642719"/>
    <w:rsid w:val="006428EB"/>
    <w:rsid w:val="0066077C"/>
    <w:rsid w:val="00682514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66FE"/>
    <w:rsid w:val="00910012"/>
    <w:rsid w:val="00916F78"/>
    <w:rsid w:val="00921F36"/>
    <w:rsid w:val="00926B06"/>
    <w:rsid w:val="00956D33"/>
    <w:rsid w:val="0097534E"/>
    <w:rsid w:val="00975DA1"/>
    <w:rsid w:val="009840D3"/>
    <w:rsid w:val="0098602B"/>
    <w:rsid w:val="009861C9"/>
    <w:rsid w:val="009B0513"/>
    <w:rsid w:val="009B6879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1F4B"/>
    <w:rsid w:val="00AA6240"/>
    <w:rsid w:val="00AC1902"/>
    <w:rsid w:val="00AC2835"/>
    <w:rsid w:val="00AC73BB"/>
    <w:rsid w:val="00AC7C62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A06C7"/>
    <w:rsid w:val="00BB3055"/>
    <w:rsid w:val="00BB4F8C"/>
    <w:rsid w:val="00BD6C15"/>
    <w:rsid w:val="00BD7032"/>
    <w:rsid w:val="00BE1548"/>
    <w:rsid w:val="00C01B95"/>
    <w:rsid w:val="00C32448"/>
    <w:rsid w:val="00C3460D"/>
    <w:rsid w:val="00C42D14"/>
    <w:rsid w:val="00C71AC7"/>
    <w:rsid w:val="00C907CD"/>
    <w:rsid w:val="00CA582A"/>
    <w:rsid w:val="00CB6253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E6FC6"/>
    <w:rsid w:val="00DF1BDB"/>
    <w:rsid w:val="00DF4F09"/>
    <w:rsid w:val="00E05B6F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97BB6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04CCBC-C64B-4531-B97B-6E8F924D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A57"/>
    <w:rPr>
      <w:rFonts w:asciiTheme="minorHAnsi" w:hAnsiTheme="minorHAnsi"/>
      <w:sz w:val="20"/>
    </w:rPr>
  </w:style>
  <w:style w:type="paragraph" w:styleId="Kop1">
    <w:name w:val="heading 1"/>
    <w:basedOn w:val="Standaard"/>
    <w:next w:val="Standaard"/>
    <w:link w:val="Kop1Char"/>
    <w:uiPriority w:val="19"/>
    <w:qFormat/>
    <w:rsid w:val="00DE6FC6"/>
    <w:pPr>
      <w:keepNext/>
      <w:keepLines/>
      <w:spacing w:before="300"/>
      <w:outlineLvl w:val="0"/>
    </w:pPr>
    <w:rPr>
      <w:rFonts w:ascii="Dax" w:eastAsiaTheme="majorEastAsia" w:hAnsi="Dax" w:cstheme="majorBidi"/>
      <w:b/>
      <w:bCs/>
      <w:color w:val="0078BE" w:themeColor="text2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DE6FC6"/>
    <w:pPr>
      <w:keepNext/>
      <w:keepLines/>
      <w:spacing w:before="300"/>
      <w:outlineLvl w:val="1"/>
    </w:pPr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DE6FC6"/>
    <w:rPr>
      <w:rFonts w:ascii="Dax" w:eastAsiaTheme="majorEastAsia" w:hAnsi="Dax" w:cstheme="majorBidi"/>
      <w:b/>
      <w:bCs/>
      <w:color w:val="0078BE" w:themeColor="text2"/>
      <w:sz w:val="22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DE6FC6"/>
    <w:rPr>
      <w:rFonts w:ascii="Dax" w:eastAsiaTheme="majorEastAsia" w:hAnsi="Dax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2222A4"/>
    <w:pPr>
      <w:spacing w:line="240" w:lineRule="auto"/>
    </w:pPr>
    <w:rPr>
      <w:rFonts w:asciiTheme="minorHAnsi" w:eastAsia="Calibri" w:hAnsiTheme="minorHAnsi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610C5B"/>
    <w:pPr>
      <w:spacing w:line="240" w:lineRule="auto"/>
      <w:ind w:left="720"/>
      <w:contextualSpacing/>
    </w:pPr>
    <w:rPr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FFB2-6BF4-46AB-94FA-E558952A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Busio</dc:creator>
  <cp:keywords/>
  <dc:description/>
  <cp:lastModifiedBy>Rian Bron</cp:lastModifiedBy>
  <cp:revision>2</cp:revision>
  <cp:lastPrinted>2014-11-29T16:44:00Z</cp:lastPrinted>
  <dcterms:created xsi:type="dcterms:W3CDTF">2019-06-24T11:19:00Z</dcterms:created>
  <dcterms:modified xsi:type="dcterms:W3CDTF">2019-06-24T11:19:00Z</dcterms:modified>
</cp:coreProperties>
</file>